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4" w:rsidRPr="0026652B" w:rsidRDefault="00F90BC7">
      <w:pPr>
        <w:pStyle w:val="22"/>
        <w:shd w:val="clear" w:color="auto" w:fill="auto"/>
        <w:spacing w:line="240" w:lineRule="auto"/>
        <w:ind w:left="5040" w:right="580"/>
        <w:rPr>
          <w:rStyle w:val="2PalatinoLinotype"/>
          <w:rFonts w:ascii="Times New Roman" w:hAnsi="Times New Roman" w:cs="Times New Roman"/>
          <w:bCs/>
          <w:sz w:val="28"/>
          <w:szCs w:val="28"/>
        </w:rPr>
      </w:pPr>
      <w:proofErr w:type="spellStart"/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  <w:lang w:eastAsia="kk-KZ"/>
        </w:rPr>
        <w:t>Қазақстан</w:t>
      </w:r>
      <w:proofErr w:type="spellEnd"/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  <w:lang w:eastAsia="kk-KZ"/>
        </w:rPr>
        <w:t>Республикасы</w:t>
      </w:r>
      <w:proofErr w:type="spellEnd"/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  <w:lang w:eastAsia="kk-KZ"/>
        </w:rPr>
        <w:t>Жоғарғы</w:t>
      </w:r>
      <w:proofErr w:type="spellEnd"/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  <w:lang w:eastAsia="kk-KZ"/>
        </w:rPr>
        <w:t xml:space="preserve"> </w:t>
      </w:r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</w:rPr>
        <w:t xml:space="preserve">Соты </w:t>
      </w:r>
    </w:p>
    <w:p w:rsidR="00C73844" w:rsidRPr="0026652B" w:rsidRDefault="00F90BC7">
      <w:pPr>
        <w:pStyle w:val="22"/>
        <w:shd w:val="clear" w:color="auto" w:fill="auto"/>
        <w:spacing w:line="240" w:lineRule="auto"/>
        <w:ind w:left="5040" w:right="580"/>
        <w:rPr>
          <w:rStyle w:val="2PalatinoLinotype3"/>
          <w:rFonts w:ascii="Times New Roman" w:hAnsi="Times New Roman" w:cs="Times New Roman"/>
          <w:bCs/>
          <w:sz w:val="28"/>
          <w:szCs w:val="28"/>
          <w:lang w:val="kk-KZ"/>
        </w:rPr>
      </w:pPr>
      <w:r w:rsidRPr="0026652B">
        <w:rPr>
          <w:rStyle w:val="2PalatinoLinotype3"/>
          <w:rFonts w:ascii="Times New Roman" w:hAnsi="Times New Roman" w:cs="Times New Roman"/>
          <w:bCs/>
          <w:sz w:val="28"/>
          <w:szCs w:val="28"/>
          <w:lang w:val="kk-KZ"/>
        </w:rPr>
        <w:t xml:space="preserve">жалпы    отырысының  </w:t>
      </w:r>
    </w:p>
    <w:p w:rsidR="00C73844" w:rsidRPr="0026652B" w:rsidRDefault="00F90BC7">
      <w:pPr>
        <w:pStyle w:val="22"/>
        <w:shd w:val="clear" w:color="auto" w:fill="auto"/>
        <w:spacing w:line="240" w:lineRule="auto"/>
        <w:ind w:left="5040" w:right="580"/>
        <w:rPr>
          <w:rStyle w:val="2PalatinoLinotype"/>
          <w:rFonts w:ascii="Times New Roman" w:hAnsi="Times New Roman" w:cs="Times New Roman"/>
          <w:bCs/>
          <w:sz w:val="28"/>
          <w:szCs w:val="28"/>
          <w:lang w:val="kk-KZ" w:eastAsia="kk-KZ"/>
        </w:rPr>
      </w:pPr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  <w:lang w:val="kk-KZ"/>
        </w:rPr>
        <w:t xml:space="preserve">2021 </w:t>
      </w:r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  <w:lang w:val="kk-KZ" w:eastAsia="kk-KZ"/>
        </w:rPr>
        <w:t>жылғы «</w:t>
      </w:r>
      <w:r w:rsidR="00A1438A">
        <w:rPr>
          <w:rStyle w:val="2PalatinoLinotype"/>
          <w:rFonts w:ascii="Times New Roman" w:hAnsi="Times New Roman" w:cs="Times New Roman"/>
          <w:bCs/>
          <w:sz w:val="28"/>
          <w:szCs w:val="28"/>
          <w:lang w:val="kk-KZ" w:eastAsia="kk-KZ"/>
        </w:rPr>
        <w:t>14</w:t>
      </w:r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  <w:lang w:val="kk-KZ" w:eastAsia="kk-KZ"/>
        </w:rPr>
        <w:t>»</w:t>
      </w:r>
      <w:r w:rsidR="00A1438A">
        <w:rPr>
          <w:rStyle w:val="2PalatinoLinotype"/>
          <w:rFonts w:ascii="Times New Roman" w:hAnsi="Times New Roman" w:cs="Times New Roman"/>
          <w:bCs/>
          <w:sz w:val="28"/>
          <w:szCs w:val="28"/>
          <w:lang w:val="kk-KZ" w:eastAsia="kk-KZ"/>
        </w:rPr>
        <w:t xml:space="preserve"> қазан</w:t>
      </w:r>
      <w:r w:rsidRPr="0026652B">
        <w:rPr>
          <w:rStyle w:val="2PalatinoLinotype4"/>
          <w:rFonts w:ascii="Times New Roman" w:hAnsi="Times New Roman" w:cs="Times New Roman"/>
          <w:bCs/>
          <w:sz w:val="28"/>
          <w:szCs w:val="28"/>
          <w:lang w:val="kk-KZ"/>
        </w:rPr>
        <w:t xml:space="preserve">  № </w:t>
      </w:r>
      <w:r w:rsidR="00A1438A">
        <w:rPr>
          <w:rStyle w:val="2PalatinoLinotype4"/>
          <w:rFonts w:ascii="Times New Roman" w:hAnsi="Times New Roman" w:cs="Times New Roman"/>
          <w:bCs/>
          <w:sz w:val="28"/>
          <w:szCs w:val="28"/>
          <w:lang w:val="kk-KZ"/>
        </w:rPr>
        <w:t>12</w:t>
      </w:r>
      <w:r w:rsidRPr="0026652B">
        <w:rPr>
          <w:rStyle w:val="2PalatinoLinotype4"/>
          <w:rFonts w:ascii="Times New Roman" w:hAnsi="Times New Roman" w:cs="Times New Roman"/>
          <w:bCs/>
          <w:sz w:val="28"/>
          <w:szCs w:val="28"/>
          <w:lang w:val="kk-KZ"/>
        </w:rPr>
        <w:t xml:space="preserve"> қаулысымен   </w:t>
      </w:r>
      <w:r w:rsidRPr="0026652B">
        <w:rPr>
          <w:rStyle w:val="2PalatinoLinotype"/>
          <w:rFonts w:ascii="Times New Roman" w:hAnsi="Times New Roman" w:cs="Times New Roman"/>
          <w:bCs/>
          <w:sz w:val="28"/>
          <w:szCs w:val="28"/>
          <w:lang w:val="kk-KZ" w:eastAsia="kk-KZ"/>
        </w:rPr>
        <w:t>бекітілген</w:t>
      </w:r>
    </w:p>
    <w:p w:rsidR="00C73844" w:rsidRPr="0026652B" w:rsidRDefault="00C73844">
      <w:pPr>
        <w:pStyle w:val="22"/>
        <w:shd w:val="clear" w:color="auto" w:fill="auto"/>
        <w:spacing w:line="240" w:lineRule="auto"/>
        <w:ind w:left="3600" w:firstLine="720"/>
        <w:rPr>
          <w:rStyle w:val="2PalatinoLinotype"/>
          <w:rFonts w:ascii="Times New Roman" w:hAnsi="Times New Roman" w:cs="Times New Roman"/>
          <w:bCs/>
          <w:sz w:val="28"/>
          <w:szCs w:val="28"/>
          <w:lang w:val="kk-KZ" w:eastAsia="kk-KZ"/>
        </w:rPr>
      </w:pPr>
    </w:p>
    <w:p w:rsidR="00C73844" w:rsidRPr="0026652B" w:rsidRDefault="00C73844">
      <w:pPr>
        <w:pStyle w:val="22"/>
        <w:shd w:val="clear" w:color="auto" w:fill="auto"/>
        <w:spacing w:line="240" w:lineRule="auto"/>
        <w:ind w:left="3600" w:firstLine="720"/>
        <w:rPr>
          <w:sz w:val="28"/>
          <w:szCs w:val="28"/>
          <w:lang w:val="kk-KZ" w:eastAsia="ru-RU"/>
        </w:rPr>
      </w:pPr>
    </w:p>
    <w:p w:rsidR="00C73844" w:rsidRPr="0026652B" w:rsidRDefault="00F90BC7">
      <w:pPr>
        <w:pStyle w:val="22"/>
        <w:shd w:val="clear" w:color="auto" w:fill="auto"/>
        <w:spacing w:line="240" w:lineRule="auto"/>
        <w:ind w:right="200"/>
        <w:jc w:val="center"/>
        <w:rPr>
          <w:sz w:val="28"/>
          <w:szCs w:val="28"/>
          <w:lang w:val="kk-KZ"/>
        </w:rPr>
      </w:pPr>
      <w:r w:rsidRPr="0026652B"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 w:eastAsia="kk-KZ"/>
        </w:rPr>
        <w:t xml:space="preserve">Қазақстан </w:t>
      </w:r>
      <w:r w:rsidRPr="0026652B"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Республикасы </w:t>
      </w:r>
      <w:r w:rsidRPr="0026652B"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 w:eastAsia="kk-KZ"/>
        </w:rPr>
        <w:t xml:space="preserve">Жоғарғы Сотының жанындағы </w:t>
      </w:r>
    </w:p>
    <w:p w:rsidR="00C73844" w:rsidRPr="0026652B" w:rsidRDefault="00F90BC7">
      <w:pPr>
        <w:pStyle w:val="22"/>
        <w:shd w:val="clear" w:color="auto" w:fill="auto"/>
        <w:spacing w:line="240" w:lineRule="auto"/>
        <w:ind w:right="200"/>
        <w:jc w:val="center"/>
        <w:rPr>
          <w:sz w:val="28"/>
          <w:szCs w:val="28"/>
          <w:lang w:val="kk-KZ"/>
        </w:rPr>
      </w:pPr>
      <w:r w:rsidRPr="0026652B"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 w:eastAsia="kk-KZ"/>
        </w:rPr>
        <w:t>Ғылыми-консультативтік кеңес туралы</w:t>
      </w:r>
    </w:p>
    <w:p w:rsidR="00C73844" w:rsidRPr="0026652B" w:rsidRDefault="00F90BC7">
      <w:pPr>
        <w:pStyle w:val="22"/>
        <w:shd w:val="clear" w:color="auto" w:fill="auto"/>
        <w:spacing w:line="240" w:lineRule="auto"/>
        <w:ind w:right="200"/>
        <w:jc w:val="center"/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 w:eastAsia="kk-KZ"/>
        </w:rPr>
      </w:pPr>
      <w:r w:rsidRPr="0026652B"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 w:eastAsia="kk-KZ"/>
        </w:rPr>
        <w:t>ЕРЕЖЕ</w:t>
      </w:r>
    </w:p>
    <w:p w:rsidR="00C73844" w:rsidRPr="0026652B" w:rsidRDefault="00C73844">
      <w:pPr>
        <w:pStyle w:val="22"/>
        <w:shd w:val="clear" w:color="auto" w:fill="auto"/>
        <w:spacing w:line="240" w:lineRule="auto"/>
        <w:ind w:right="200"/>
        <w:jc w:val="center"/>
        <w:rPr>
          <w:sz w:val="28"/>
          <w:szCs w:val="28"/>
          <w:lang w:val="kk-KZ" w:eastAsia="ru-RU"/>
        </w:rPr>
      </w:pPr>
    </w:p>
    <w:p w:rsidR="00C73844" w:rsidRPr="0026652B" w:rsidRDefault="00F90BC7">
      <w:pPr>
        <w:pStyle w:val="22"/>
        <w:shd w:val="clear" w:color="auto" w:fill="auto"/>
        <w:spacing w:line="240" w:lineRule="auto"/>
        <w:ind w:left="2880" w:firstLine="720"/>
        <w:jc w:val="both"/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 w:eastAsia="kk-KZ"/>
        </w:rPr>
      </w:pPr>
      <w:r w:rsidRPr="0026652B"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Pr="0026652B"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 w:eastAsia="kk-KZ"/>
        </w:rPr>
        <w:t>Жалпы ережелер</w:t>
      </w:r>
    </w:p>
    <w:p w:rsidR="00C73844" w:rsidRPr="0026652B" w:rsidRDefault="00C73844">
      <w:pPr>
        <w:pStyle w:val="22"/>
        <w:shd w:val="clear" w:color="auto" w:fill="auto"/>
        <w:spacing w:line="240" w:lineRule="auto"/>
        <w:ind w:left="3740"/>
        <w:jc w:val="both"/>
        <w:rPr>
          <w:sz w:val="28"/>
          <w:szCs w:val="28"/>
          <w:lang w:val="kk-KZ" w:eastAsia="ru-RU"/>
        </w:rPr>
      </w:pPr>
    </w:p>
    <w:p w:rsidR="00C73844" w:rsidRPr="0026652B" w:rsidRDefault="00F90BC7" w:rsidP="0044646E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Қазақстан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Республикасы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Жоғарғы Сотының жанындағы Ғылыми-консультативтік кеңес (бұдан әрі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noBreakHyphen/>
        <w:t xml:space="preserve"> Ғылыми-консультативтік кеңес) «Қазақстан Республикасының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сот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жүйесі мен судьяларының мәртебесі туралы» Қазақстан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Республикасы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Конституциялық заңының 18-бабының  6-тармағына және Қазақстан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Республикасы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Жоғарғы Сотының жалпы және кеңейтілген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>жалпы</w:t>
      </w:r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отырыстары р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егламентіне және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Ережеге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сәйкес құрылатын және жұмыс істейтін кеңесші-мәжілістік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орган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болып табылады.</w:t>
      </w:r>
    </w:p>
    <w:p w:rsidR="00C73844" w:rsidRPr="0026652B" w:rsidRDefault="00AF1C27" w:rsidP="0044646E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Ғылыми-консультативтік кеңестің негізгі міндеттері нормативтік қаулыларды қабылдау және сот практикасын түсіндіру,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оттардың </w:t>
      </w:r>
      <w:r w:rsidR="007F6144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заңнаманы және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құқық қолдану қызметін одан әрі жетілдіру 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мәселелері жөнінде ғылыми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негізделген ұсыныстарды даярлау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жөнінде Жоғарғы Соттың қызметін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ғылыми сүйемелдеу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:rsidR="00C73844" w:rsidRPr="0026652B" w:rsidRDefault="0044646E" w:rsidP="0044646E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80" w:firstLine="700"/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Ғылыми-консультативтік кеңес нормативтік құқықтық базаны және 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сот 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ісін жү</w:t>
      </w:r>
      <w:r w:rsidR="00AF1C27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ргізудің практикасын зерделеу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негізінде:</w:t>
      </w:r>
    </w:p>
    <w:p w:rsidR="00C73844" w:rsidRPr="0026652B" w:rsidRDefault="00F90BC7">
      <w:pPr>
        <w:pStyle w:val="31"/>
        <w:shd w:val="clear" w:color="auto" w:fill="auto"/>
        <w:tabs>
          <w:tab w:val="left" w:pos="1491"/>
        </w:tabs>
        <w:spacing w:before="0" w:line="240" w:lineRule="auto"/>
        <w:ind w:firstLine="709"/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Қазақстан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Республикасы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Жоғарғы Сотының нормативтік қаулыларының жобалары бойынша;</w:t>
      </w:r>
    </w:p>
    <w:p w:rsidR="00C73844" w:rsidRPr="0026652B" w:rsidRDefault="00F90BC7">
      <w:pPr>
        <w:pStyle w:val="31"/>
        <w:shd w:val="clear" w:color="auto" w:fill="auto"/>
        <w:tabs>
          <w:tab w:val="left" w:pos="1098"/>
        </w:tabs>
        <w:spacing w:before="0" w:line="240" w:lineRule="auto"/>
        <w:ind w:firstLine="709"/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соттардың заңдарды және өзге де нормативтік құқықтық актілерді қолдану практикасын қорыту материалдары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>бойынша;</w:t>
      </w:r>
    </w:p>
    <w:p w:rsidR="007F6144" w:rsidRPr="0026652B" w:rsidRDefault="007F6144">
      <w:pPr>
        <w:pStyle w:val="31"/>
        <w:shd w:val="clear" w:color="auto" w:fill="auto"/>
        <w:tabs>
          <w:tab w:val="left" w:pos="1098"/>
        </w:tabs>
        <w:spacing w:before="0" w:line="240" w:lineRule="auto"/>
        <w:ind w:firstLine="709"/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>нормативтік актілердің жобалары бойынша;</w:t>
      </w:r>
    </w:p>
    <w:p w:rsidR="00C73844" w:rsidRPr="0026652B" w:rsidRDefault="00F90BC7">
      <w:pPr>
        <w:pStyle w:val="31"/>
        <w:shd w:val="clear" w:color="auto" w:fill="auto"/>
        <w:spacing w:before="0" w:line="240" w:lineRule="auto"/>
        <w:ind w:firstLine="709"/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сот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практикасында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туындайтын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құқықтық сипаттағы өзге де мәселелер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қорытындылар дайындайды.</w:t>
      </w:r>
    </w:p>
    <w:p w:rsidR="00C73844" w:rsidRPr="0026652B" w:rsidRDefault="00C73844">
      <w:pPr>
        <w:pStyle w:val="31"/>
        <w:shd w:val="clear" w:color="auto" w:fill="auto"/>
        <w:spacing w:before="0" w:line="240" w:lineRule="auto"/>
        <w:ind w:left="80" w:firstLine="1400"/>
        <w:rPr>
          <w:sz w:val="28"/>
          <w:szCs w:val="28"/>
          <w:lang w:val="kk-KZ" w:eastAsia="ru-RU"/>
        </w:rPr>
      </w:pPr>
    </w:p>
    <w:p w:rsidR="00C73844" w:rsidRPr="0026652B" w:rsidRDefault="00F90BC7">
      <w:pPr>
        <w:pStyle w:val="22"/>
        <w:shd w:val="clear" w:color="auto" w:fill="auto"/>
        <w:spacing w:line="240" w:lineRule="auto"/>
        <w:jc w:val="center"/>
        <w:rPr>
          <w:sz w:val="28"/>
          <w:szCs w:val="28"/>
          <w:lang w:val="kk-KZ"/>
        </w:rPr>
      </w:pPr>
      <w:r w:rsidRPr="0026652B"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26652B">
        <w:rPr>
          <w:rStyle w:val="2PalatinoLinotype"/>
          <w:rFonts w:ascii="Times New Roman" w:hAnsi="Times New Roman" w:cs="Times New Roman"/>
          <w:b/>
          <w:bCs/>
          <w:sz w:val="28"/>
          <w:szCs w:val="28"/>
          <w:lang w:val="kk-KZ" w:eastAsia="kk-KZ"/>
        </w:rPr>
        <w:t>Ғылыми-консультативтік кеңестің құрамы және жұмысын</w:t>
      </w:r>
    </w:p>
    <w:p w:rsidR="00C73844" w:rsidRPr="0026652B" w:rsidRDefault="00F90BC7">
      <w:pPr>
        <w:pStyle w:val="22"/>
        <w:shd w:val="clear" w:color="auto" w:fill="auto"/>
        <w:spacing w:line="240" w:lineRule="auto"/>
        <w:ind w:left="3600"/>
        <w:rPr>
          <w:rStyle w:val="2PalatinoLinotype"/>
          <w:rFonts w:ascii="Times New Roman" w:hAnsi="Times New Roman" w:cs="Times New Roman"/>
          <w:b/>
          <w:bCs/>
          <w:sz w:val="28"/>
          <w:szCs w:val="28"/>
          <w:lang w:eastAsia="kk-KZ"/>
        </w:rPr>
      </w:pPr>
      <w:proofErr w:type="spellStart"/>
      <w:r w:rsidRPr="0026652B">
        <w:rPr>
          <w:rStyle w:val="2PalatinoLinotype"/>
          <w:rFonts w:ascii="Times New Roman" w:hAnsi="Times New Roman" w:cs="Times New Roman"/>
          <w:b/>
          <w:bCs/>
          <w:sz w:val="28"/>
          <w:szCs w:val="28"/>
          <w:lang w:eastAsia="kk-KZ"/>
        </w:rPr>
        <w:t>ұйымдастыру</w:t>
      </w:r>
      <w:proofErr w:type="spellEnd"/>
    </w:p>
    <w:p w:rsidR="00C73844" w:rsidRPr="0026652B" w:rsidRDefault="00C73844">
      <w:pPr>
        <w:pStyle w:val="22"/>
        <w:shd w:val="clear" w:color="auto" w:fill="auto"/>
        <w:spacing w:line="240" w:lineRule="auto"/>
        <w:ind w:left="4180"/>
        <w:jc w:val="both"/>
        <w:rPr>
          <w:sz w:val="28"/>
          <w:szCs w:val="28"/>
          <w:lang w:eastAsia="ru-RU"/>
        </w:rPr>
      </w:pPr>
    </w:p>
    <w:p w:rsidR="00C73844" w:rsidRPr="0026652B" w:rsidRDefault="00F90BC7" w:rsidP="00A1438A">
      <w:pPr>
        <w:pStyle w:val="31"/>
        <w:numPr>
          <w:ilvl w:val="1"/>
          <w:numId w:val="2"/>
        </w:numPr>
        <w:shd w:val="clear" w:color="auto" w:fill="auto"/>
        <w:tabs>
          <w:tab w:val="left" w:pos="1134"/>
          <w:tab w:val="left" w:pos="1386"/>
        </w:tabs>
        <w:spacing w:before="0" w:line="240" w:lineRule="auto"/>
        <w:ind w:firstLine="709"/>
        <w:rPr>
          <w:rStyle w:val="3PalatinoLinotype"/>
          <w:rFonts w:ascii="Times New Roman" w:hAnsi="Times New Roman" w:cs="Times New Roman"/>
          <w:sz w:val="28"/>
          <w:szCs w:val="28"/>
          <w:shd w:val="clear" w:color="auto" w:fill="auto"/>
        </w:rPr>
      </w:pP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Ғылыми-консультативтік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кеңестің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құрамын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Жоғар</w:t>
      </w:r>
      <w:proofErr w:type="spellEnd"/>
      <w:r w:rsidR="00E8610A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ғ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ы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</w:rPr>
        <w:t>Сот</w:t>
      </w:r>
      <w:proofErr w:type="gramStart"/>
      <w:r w:rsidRPr="0026652B">
        <w:rPr>
          <w:rStyle w:val="3PalatinoLinotyp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Т</w:t>
      </w:r>
      <w:proofErr w:type="gram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өрағасының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ұсынуы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Жоғар</w:t>
      </w:r>
      <w:proofErr w:type="spellEnd"/>
      <w:r w:rsidR="00E8610A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ғ</w:t>
      </w:r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ы </w:t>
      </w:r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</w:rPr>
        <w:t>Сот</w:t>
      </w:r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>тың</w:t>
      </w:r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жалпы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отырыс</w:t>
      </w:r>
      <w:proofErr w:type="spellEnd"/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ы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бекітеді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. </w:t>
      </w:r>
      <w:proofErr w:type="spellStart"/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Ғылыми-консультативтік</w:t>
      </w:r>
      <w:proofErr w:type="spellEnd"/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кеңестің</w:t>
      </w:r>
      <w:proofErr w:type="spellEnd"/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құрамына</w:t>
      </w:r>
      <w:proofErr w:type="spellEnd"/>
      <w:r w:rsidR="00B350D9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қ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ұқық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ғалымдары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, </w:t>
      </w:r>
      <w:proofErr w:type="spellStart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ғылым</w:t>
      </w:r>
      <w:proofErr w:type="spellEnd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мен </w:t>
      </w:r>
      <w:proofErr w:type="spellStart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практиканың</w:t>
      </w:r>
      <w:proofErr w:type="spellEnd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басқа</w:t>
      </w:r>
      <w:proofErr w:type="spellEnd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салалары</w:t>
      </w:r>
      <w:proofErr w:type="spellEnd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,</w:t>
      </w:r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</w:t>
      </w:r>
      <w:proofErr w:type="spellStart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соның</w:t>
      </w:r>
      <w:proofErr w:type="spellEnd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proofErr w:type="spellStart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ішінде</w:t>
      </w:r>
      <w:proofErr w:type="spellEnd"/>
      <w:r w:rsidR="006C63E9"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 xml:space="preserve">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практика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дан өтуші заңгерлер </w:t>
      </w:r>
      <w:proofErr w:type="spellStart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кіреді</w:t>
      </w:r>
      <w:proofErr w:type="spellEnd"/>
      <w:r w:rsidRPr="0026652B">
        <w:rPr>
          <w:rStyle w:val="3PalatinoLinotype"/>
          <w:rFonts w:ascii="Times New Roman" w:hAnsi="Times New Roman" w:cs="Times New Roman"/>
          <w:sz w:val="28"/>
          <w:szCs w:val="28"/>
          <w:lang w:eastAsia="kk-KZ"/>
        </w:rPr>
        <w:t>.</w:t>
      </w:r>
    </w:p>
    <w:p w:rsidR="00C73844" w:rsidRPr="0026652B" w:rsidRDefault="00F90BC7">
      <w:pPr>
        <w:pStyle w:val="31"/>
        <w:shd w:val="clear" w:color="auto" w:fill="auto"/>
        <w:tabs>
          <w:tab w:val="left" w:pos="851"/>
        </w:tabs>
        <w:spacing w:before="0" w:line="240" w:lineRule="auto"/>
        <w:ind w:left="80"/>
        <w:rPr>
          <w:sz w:val="28"/>
          <w:szCs w:val="28"/>
          <w:lang w:val="kk-KZ"/>
        </w:rPr>
      </w:pPr>
      <w:r w:rsidRPr="0026652B">
        <w:rPr>
          <w:sz w:val="28"/>
          <w:szCs w:val="28"/>
          <w:lang w:val="kk-KZ"/>
        </w:rPr>
        <w:lastRenderedPageBreak/>
        <w:tab/>
        <w:t xml:space="preserve">Сандық және </w:t>
      </w:r>
      <w:r w:rsidR="002F13C8" w:rsidRPr="0026652B">
        <w:rPr>
          <w:sz w:val="28"/>
          <w:szCs w:val="28"/>
          <w:lang w:val="kk-KZ"/>
        </w:rPr>
        <w:t>дербес</w:t>
      </w:r>
      <w:r w:rsidRPr="0026652B">
        <w:rPr>
          <w:sz w:val="28"/>
          <w:szCs w:val="28"/>
          <w:lang w:val="kk-KZ"/>
        </w:rPr>
        <w:t xml:space="preserve"> құрам туралы ұсыныстарды Жоғарғы Сот Төрағасына Жоғарғы Соттың сот алқалары мен судьялары, оқу орындары мен ғылыми мекемелердің басшылары енгізе алады.</w:t>
      </w:r>
    </w:p>
    <w:p w:rsidR="00EF699C" w:rsidRPr="001B2B25" w:rsidRDefault="00EF699C" w:rsidP="00EF699C">
      <w:pPr>
        <w:pStyle w:val="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09"/>
        </w:tabs>
        <w:spacing w:before="0" w:line="240" w:lineRule="auto"/>
        <w:jc w:val="left"/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Pr="001B2B25"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  <w:t>5. Ғылыми-консультативтік кеңестің құрамы бекітілген күннен  бастап үш жыл ішінде жарамды.</w:t>
      </w:r>
    </w:p>
    <w:p w:rsidR="00C73844" w:rsidRPr="0026652B" w:rsidRDefault="0026652B" w:rsidP="0026652B">
      <w:pPr>
        <w:pStyle w:val="31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  <w:lang w:val="kk-KZ"/>
        </w:rPr>
      </w:pPr>
      <w:r w:rsidRPr="00A1438A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ab/>
      </w:r>
      <w:r w:rsidR="00EF699C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6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. Ғылыми-консультативтік кеңес:</w:t>
      </w:r>
    </w:p>
    <w:p w:rsidR="00C73844" w:rsidRPr="0026652B" w:rsidRDefault="00F90BC7">
      <w:pPr>
        <w:pStyle w:val="31"/>
        <w:shd w:val="clear" w:color="auto" w:fill="auto"/>
        <w:tabs>
          <w:tab w:val="left" w:pos="943"/>
        </w:tabs>
        <w:spacing w:before="0" w:line="240" w:lineRule="auto"/>
        <w:ind w:left="780"/>
        <w:rPr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азаматтық  және азаматтық</w:t>
      </w:r>
      <w:r w:rsidR="00C6015D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процестік заңнама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;</w:t>
      </w:r>
    </w:p>
    <w:p w:rsidR="00C73844" w:rsidRPr="0026652B" w:rsidRDefault="0044646E" w:rsidP="0044646E">
      <w:pPr>
        <w:pStyle w:val="31"/>
        <w:shd w:val="clear" w:color="auto" w:fill="auto"/>
        <w:tabs>
          <w:tab w:val="left" w:pos="0"/>
        </w:tabs>
        <w:spacing w:before="0" w:line="240" w:lineRule="auto"/>
        <w:ind w:firstLine="709"/>
        <w:rPr>
          <w:rStyle w:val="3PalatinoLinotype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қылмыстық және қылмыстық-процестік</w:t>
      </w:r>
      <w:r w:rsidR="00C6015D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заңнама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,</w:t>
      </w:r>
      <w:r w:rsidRPr="0026652B">
        <w:rPr>
          <w:sz w:val="28"/>
          <w:szCs w:val="28"/>
          <w:lang w:val="kk-KZ"/>
        </w:rPr>
        <w:t xml:space="preserve"> ә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кімшілік құқық бұзушылықтар туралы заңнаманы</w:t>
      </w:r>
      <w:r w:rsidR="00F90BC7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;</w:t>
      </w:r>
    </w:p>
    <w:p w:rsidR="00C73844" w:rsidRPr="0026652B" w:rsidRDefault="00F90BC7">
      <w:pPr>
        <w:pStyle w:val="3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әкімшілік және заңнаманың басқа да салаларының нормаларын қолдану мәселелерін қарау жөніндегі секциялардан құрылған.</w:t>
      </w:r>
    </w:p>
    <w:p w:rsidR="00C73844" w:rsidRPr="0026652B" w:rsidRDefault="0026652B" w:rsidP="00A1438A">
      <w:pPr>
        <w:pStyle w:val="ac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lang w:val="kk-KZ"/>
        </w:rPr>
      </w:pPr>
      <w:r>
        <w:rPr>
          <w:rStyle w:val="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         </w:t>
      </w:r>
      <w:r w:rsidR="00EF699C" w:rsidRPr="0026652B">
        <w:rPr>
          <w:rStyle w:val="PalatinoLinotype"/>
          <w:rFonts w:ascii="Times New Roman" w:hAnsi="Times New Roman" w:cs="Times New Roman"/>
          <w:sz w:val="28"/>
          <w:szCs w:val="28"/>
          <w:lang w:val="kk-KZ" w:eastAsia="kk-KZ"/>
        </w:rPr>
        <w:t>7</w:t>
      </w:r>
      <w:r w:rsidR="00F90BC7" w:rsidRPr="0026652B">
        <w:rPr>
          <w:rStyle w:val="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. </w:t>
      </w:r>
      <w:r w:rsidR="00B350D9" w:rsidRPr="0026652B">
        <w:rPr>
          <w:rStyle w:val="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</w:t>
      </w:r>
      <w:r w:rsidR="00F90BC7" w:rsidRPr="0026652B">
        <w:rPr>
          <w:rStyle w:val="PalatinoLinotype"/>
          <w:rFonts w:ascii="Times New Roman" w:hAnsi="Times New Roman" w:cs="Times New Roman"/>
          <w:sz w:val="28"/>
          <w:szCs w:val="28"/>
          <w:lang w:val="kk-KZ" w:eastAsia="kk-KZ"/>
        </w:rPr>
        <w:t>Ғылыми-консультативтік</w:t>
      </w:r>
      <w:r w:rsidR="00F90BC7" w:rsidRPr="0026652B">
        <w:rPr>
          <w:rStyle w:val="PalatinoLinotype2"/>
          <w:rFonts w:ascii="Times New Roman" w:hAnsi="Times New Roman" w:cs="Times New Roman"/>
          <w:sz w:val="28"/>
          <w:szCs w:val="28"/>
          <w:lang w:val="kk-KZ" w:eastAsia="kk-KZ"/>
        </w:rPr>
        <w:t xml:space="preserve"> кеңестің</w:t>
      </w:r>
      <w:r w:rsidR="00F90BC7" w:rsidRPr="0026652B">
        <w:rPr>
          <w:rStyle w:val="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секциялары</w:t>
      </w:r>
      <w:r w:rsidR="00F90BC7" w:rsidRPr="0026652B">
        <w:rPr>
          <w:rStyle w:val="PalatinoLinotype2"/>
          <w:rFonts w:ascii="Times New Roman" w:hAnsi="Times New Roman" w:cs="Times New Roman"/>
          <w:sz w:val="28"/>
          <w:szCs w:val="28"/>
          <w:lang w:val="kk-KZ" w:eastAsia="kk-KZ"/>
        </w:rPr>
        <w:t xml:space="preserve"> оның</w:t>
      </w:r>
      <w:r w:rsidR="00F90BC7" w:rsidRPr="0026652B">
        <w:rPr>
          <w:rStyle w:val="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тұракты органдары болып </w:t>
      </w:r>
      <w:r w:rsidR="00C6015D" w:rsidRPr="0026652B">
        <w:rPr>
          <w:rStyle w:val="PalatinoLinotype"/>
          <w:rFonts w:ascii="Times New Roman" w:hAnsi="Times New Roman" w:cs="Times New Roman"/>
          <w:sz w:val="28"/>
          <w:szCs w:val="28"/>
          <w:lang w:val="kk-KZ" w:eastAsia="kk-KZ"/>
        </w:rPr>
        <w:t>табы</w:t>
      </w:r>
      <w:r w:rsidR="00F90BC7" w:rsidRPr="0026652B">
        <w:rPr>
          <w:rStyle w:val="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лады, </w:t>
      </w:r>
      <w:r w:rsidR="00F90BC7" w:rsidRPr="0026652B">
        <w:rPr>
          <w:sz w:val="28"/>
          <w:szCs w:val="28"/>
          <w:lang w:val="kk-KZ" w:eastAsia="kk-KZ"/>
        </w:rPr>
        <w:t xml:space="preserve">олардың шеңберінде </w:t>
      </w:r>
      <w:r w:rsidR="00F90BC7" w:rsidRPr="0026652B">
        <w:rPr>
          <w:rStyle w:val="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ғылыми негізделген қорытындыларды </w:t>
      </w:r>
      <w:r w:rsidR="00F90BC7" w:rsidRPr="0026652B">
        <w:rPr>
          <w:sz w:val="28"/>
          <w:szCs w:val="28"/>
          <w:lang w:val="kk-KZ" w:eastAsia="kk-KZ"/>
        </w:rPr>
        <w:t xml:space="preserve">дайындау жұмыстары жүргізіліп, </w:t>
      </w:r>
      <w:r w:rsidR="00C6015D" w:rsidRPr="0026652B">
        <w:rPr>
          <w:rStyle w:val="50"/>
          <w:rFonts w:ascii="Times New Roman" w:hAnsi="Times New Roman" w:cs="Times New Roman"/>
          <w:sz w:val="28"/>
          <w:szCs w:val="28"/>
          <w:lang w:val="kk-KZ" w:eastAsia="kk-KZ"/>
        </w:rPr>
        <w:t>мәселелер</w:t>
      </w:r>
      <w:r w:rsidR="00C6015D" w:rsidRPr="0026652B">
        <w:rPr>
          <w:sz w:val="28"/>
          <w:szCs w:val="28"/>
          <w:lang w:val="kk-KZ" w:eastAsia="kk-KZ"/>
        </w:rPr>
        <w:t xml:space="preserve"> </w:t>
      </w:r>
      <w:r w:rsidR="00F90BC7" w:rsidRPr="0026652B">
        <w:rPr>
          <w:sz w:val="28"/>
          <w:szCs w:val="28"/>
          <w:lang w:val="kk-KZ" w:eastAsia="kk-KZ"/>
        </w:rPr>
        <w:t xml:space="preserve">Жоғарғы Соттың </w:t>
      </w:r>
      <w:r w:rsidR="00F90BC7" w:rsidRPr="0026652B">
        <w:rPr>
          <w:rStyle w:val="50"/>
          <w:rFonts w:ascii="Times New Roman" w:hAnsi="Times New Roman" w:cs="Times New Roman"/>
          <w:sz w:val="28"/>
          <w:szCs w:val="28"/>
          <w:lang w:val="kk-KZ" w:eastAsia="kk-KZ"/>
        </w:rPr>
        <w:t>жалпы отырысына шығарылады.</w:t>
      </w:r>
    </w:p>
    <w:p w:rsidR="00C73844" w:rsidRPr="0026652B" w:rsidRDefault="00F90BC7">
      <w:pPr>
        <w:pStyle w:val="31"/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  <w:lang w:val="kk-KZ"/>
        </w:rPr>
      </w:pP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ab/>
      </w:r>
      <w:r w:rsidR="00EF699C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8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. Ғылыми-</w:t>
      </w:r>
      <w:bookmarkStart w:id="0" w:name="_GoBack"/>
      <w:bookmarkEnd w:id="0"/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консультативтік кеңестің мүшелері тиісті секциялардың құрамында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сот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практикасын зерделеуге қатысады, нормативтік қаулылардың жобалары бойынша ғылыми негізделген қорытындыларды әзірлеу жөніндегі тапсырмаларды орындайды, дайындалған нормативтік қаулының жобасы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оппоненттер болады,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Ережеден туындайтын басқа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44646E"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>міндеттерді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 орындайды.</w:t>
      </w:r>
    </w:p>
    <w:p w:rsidR="00C73844" w:rsidRPr="0026652B" w:rsidRDefault="00F90BC7">
      <w:pPr>
        <w:pStyle w:val="31"/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  <w:lang w:val="kk-KZ"/>
        </w:rPr>
      </w:pP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ab/>
      </w:r>
      <w:r w:rsidR="00EF699C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9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. Ғылыми-консультативтік кеңеске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басшылық</w:t>
      </w:r>
      <w:r w:rsidR="00C6015D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т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ы оның отырыстарын</w:t>
      </w:r>
      <w:r w:rsidR="00C6015D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д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а қаралатын мәселелердің сипатына қарай Жоғарғы Сот</w:t>
      </w:r>
      <w:r w:rsidR="00C6015D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т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ың сот алқаларының төрағалары жүзеге асырады.</w:t>
      </w:r>
    </w:p>
    <w:p w:rsidR="00C73844" w:rsidRPr="0026652B" w:rsidRDefault="00F90BC7">
      <w:pPr>
        <w:pStyle w:val="31"/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  <w:shd w:val="clear" w:color="auto" w:fill="FFFFFF"/>
          <w:lang w:val="kk-KZ" w:eastAsia="kk-KZ"/>
        </w:rPr>
      </w:pP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ab/>
      </w:r>
      <w:r w:rsidR="00EF699C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10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. Соттардың қызметін қамтамасыз ету жөніндегі уәкілетті органның тиісті кұрылымдық бөлімшесі </w:t>
      </w:r>
      <w:r w:rsidR="005D1A79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Жоғарғы Соттың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жалпы отырыстар</w:t>
      </w:r>
      <w:r w:rsidR="005D1A79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ын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 ұйымдык-құқықтық қамтамасыз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ету секторы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(бұдан әрі </w:t>
      </w:r>
      <w:r w:rsidR="005D1A79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–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Сектор)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 оның мүшелерін қажетті </w:t>
      </w:r>
      <w:r w:rsidR="005D1A79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ақпарат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пен </w:t>
      </w:r>
      <w:r w:rsidR="005D1A79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 және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материалдармен қамтамасыз етеді.</w:t>
      </w:r>
    </w:p>
    <w:p w:rsidR="00C73844" w:rsidRPr="0026652B" w:rsidRDefault="00C73844">
      <w:pPr>
        <w:pStyle w:val="61"/>
        <w:shd w:val="clear" w:color="auto" w:fill="auto"/>
        <w:spacing w:before="0"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3844" w:rsidRPr="0026652B" w:rsidRDefault="00F90BC7">
      <w:pPr>
        <w:pStyle w:val="61"/>
        <w:shd w:val="clear" w:color="auto" w:fill="auto"/>
        <w:spacing w:before="0"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kk-KZ" w:eastAsia="kk-KZ"/>
        </w:rPr>
      </w:pPr>
      <w:r w:rsidRPr="0026652B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6652B">
        <w:rPr>
          <w:rFonts w:ascii="Times New Roman" w:hAnsi="Times New Roman" w:cs="Times New Roman"/>
          <w:sz w:val="28"/>
          <w:szCs w:val="28"/>
          <w:lang w:val="kk-KZ" w:eastAsia="kk-KZ"/>
        </w:rPr>
        <w:t>Ғылыми-консультативтік кеңестің жұмыс істеу тәртібі</w:t>
      </w:r>
    </w:p>
    <w:p w:rsidR="00C73844" w:rsidRPr="0026652B" w:rsidRDefault="00C73844">
      <w:pPr>
        <w:pStyle w:val="61"/>
        <w:shd w:val="clear" w:color="auto" w:fill="auto"/>
        <w:spacing w:before="0"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3844" w:rsidRPr="0026652B" w:rsidRDefault="00F90BC7" w:rsidP="005D1A79">
      <w:pPr>
        <w:pStyle w:val="31"/>
        <w:shd w:val="clear" w:color="auto" w:fill="auto"/>
        <w:tabs>
          <w:tab w:val="left" w:pos="1386"/>
        </w:tabs>
        <w:spacing w:before="0" w:line="240" w:lineRule="auto"/>
        <w:ind w:firstLine="851"/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1</w:t>
      </w:r>
      <w:r w:rsidR="00EF699C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1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. Ғылыми-консультативтік кеңестің отырысында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>техникалық хатшы</w:t>
      </w:r>
      <w:r w:rsidR="005D1A79"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 – Сектор қызметкері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 хаттама жүргізеді.</w:t>
      </w:r>
    </w:p>
    <w:p w:rsidR="00C73844" w:rsidRPr="0026652B" w:rsidRDefault="00F90BC7">
      <w:pPr>
        <w:pStyle w:val="31"/>
        <w:shd w:val="clear" w:color="auto" w:fill="auto"/>
        <w:tabs>
          <w:tab w:val="left" w:pos="1386"/>
        </w:tabs>
        <w:spacing w:before="0" w:line="240" w:lineRule="auto"/>
        <w:ind w:firstLine="851"/>
        <w:rPr>
          <w:sz w:val="28"/>
          <w:szCs w:val="28"/>
          <w:lang w:val="kk-KZ"/>
        </w:rPr>
      </w:pP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Ғылыми-консультативтік кеңес отырысының хаттамасына бес жұмыс күні ішінде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Жоғарғы Соттың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тиісті сот алқа</w:t>
      </w:r>
      <w:r w:rsidR="005D1A79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сы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 төрағасының қолы қойылады.</w:t>
      </w:r>
    </w:p>
    <w:p w:rsidR="00C73844" w:rsidRPr="0026652B" w:rsidRDefault="0071393C">
      <w:pPr>
        <w:pStyle w:val="31"/>
        <w:shd w:val="clear" w:color="auto" w:fill="auto"/>
        <w:tabs>
          <w:tab w:val="left" w:pos="1376"/>
        </w:tabs>
        <w:spacing w:before="0" w:line="240" w:lineRule="auto"/>
        <w:ind w:firstLine="851"/>
        <w:rPr>
          <w:sz w:val="28"/>
          <w:szCs w:val="28"/>
          <w:lang w:val="kk-KZ"/>
        </w:rPr>
      </w:pP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1</w:t>
      </w:r>
      <w:r w:rsidR="00EF699C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2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. Баяндамашы-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судьяның ұсынысы 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бойынша жалпы 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отырыстың хатшысы Жоғарғы Соттың</w:t>
      </w:r>
      <w:r w:rsidR="005D1A79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 сот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 алқа</w:t>
      </w:r>
      <w:r w:rsidR="005D1A79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сы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 төрағасының келісімімен жалпы отырыста мәселе қаралғанға дейін ел</w:t>
      </w:r>
      <w:r w:rsidR="005D1A79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у күннен кешіктірмей, Ғылыми-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консультативтік кеңес отырысының күнін анықтайды. Жалпы отырыстың хатшысы Ғылыми-консультативтік кеңестің тиісті секциясының мүшелерін отырыстың өтетін күні мен уақыты, қаралатын мәселелер тізбесі 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қажетті материалдарды ұсына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отырып 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хабардар 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ет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еді</w:t>
      </w:r>
      <w:r w:rsidR="00F90BC7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. </w:t>
      </w:r>
    </w:p>
    <w:p w:rsidR="00C73844" w:rsidRPr="0026652B" w:rsidRDefault="00F90BC7">
      <w:pPr>
        <w:pStyle w:val="31"/>
        <w:shd w:val="clear" w:color="auto" w:fill="auto"/>
        <w:tabs>
          <w:tab w:val="left" w:pos="1357"/>
        </w:tabs>
        <w:spacing w:before="0" w:line="240" w:lineRule="auto"/>
        <w:ind w:firstLine="851"/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1</w:t>
      </w:r>
      <w:r w:rsidR="00EF699C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3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. Жоғарғы Соттың сот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алқа төрағасы жалпы отырыстың хатшысымен бірлесіп, дайындалған нормативтік қаулының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/>
        </w:rPr>
        <w:t xml:space="preserve">жобасы бойынша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lastRenderedPageBreak/>
        <w:t xml:space="preserve">Ғылыми-консультативтік кеңес мүшелерінің </w:t>
      </w:r>
      <w:r w:rsidR="0071393C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ішінен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 оппоненттерді 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анықтайды, олар отырыс өткізілгенге дейін </w:t>
      </w:r>
      <w:r w:rsidR="007005A2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он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 күн </w:t>
      </w:r>
      <w:r w:rsidR="007005A2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қалғанда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 Жоғарғы Сотқа нормативтік </w:t>
      </w:r>
      <w:r w:rsidR="0071393C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қ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аулының жобасы бойынша жазбаша ғылыми негізделген қорытындыны ұсынады.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ab/>
      </w:r>
    </w:p>
    <w:p w:rsidR="00C73844" w:rsidRPr="0026652B" w:rsidRDefault="00F90BC7">
      <w:pPr>
        <w:pStyle w:val="31"/>
        <w:shd w:val="clear" w:color="auto" w:fill="auto"/>
        <w:tabs>
          <w:tab w:val="left" w:pos="1357"/>
        </w:tabs>
        <w:spacing w:before="0" w:line="240" w:lineRule="auto"/>
        <w:ind w:firstLine="851"/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1</w:t>
      </w:r>
      <w:r w:rsidR="00EF699C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4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6652B">
        <w:rPr>
          <w:rStyle w:val="3PalatinoLinotype4"/>
          <w:rFonts w:ascii="Times New Roman" w:hAnsi="Times New Roman" w:cs="Times New Roman"/>
          <w:sz w:val="28"/>
          <w:szCs w:val="28"/>
          <w:lang w:val="kk-KZ" w:eastAsia="kk-KZ"/>
        </w:rPr>
        <w:t>Ғылыми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-консультативтік кеңестің отырысы 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Жоғарғы Соттың 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тиісті сот алқа</w:t>
      </w:r>
      <w:r w:rsidR="00A90AE0"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>сы</w:t>
      </w:r>
      <w:r w:rsidRPr="0026652B">
        <w:rPr>
          <w:rStyle w:val="3PalatinoLinotype8"/>
          <w:rFonts w:ascii="Times New Roman" w:hAnsi="Times New Roman" w:cs="Times New Roman"/>
          <w:sz w:val="28"/>
          <w:szCs w:val="28"/>
          <w:lang w:val="kk-KZ" w:eastAsia="kk-KZ"/>
        </w:rPr>
        <w:t xml:space="preserve"> төрағасының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 басшылы</w:t>
      </w:r>
      <w:r w:rsidR="00A90AE0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ғым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ен жалпы отырыс хатшысының, </w:t>
      </w:r>
      <w:r w:rsidR="00A90AE0"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>Жоғарғы Сот</w:t>
      </w:r>
      <w:r w:rsidRPr="0026652B">
        <w:rPr>
          <w:rStyle w:val="3PalatinoLinotype"/>
          <w:rFonts w:ascii="Times New Roman" w:hAnsi="Times New Roman" w:cs="Times New Roman"/>
          <w:sz w:val="28"/>
          <w:szCs w:val="28"/>
          <w:lang w:val="kk-KZ" w:eastAsia="kk-KZ"/>
        </w:rPr>
        <w:t xml:space="preserve"> судьяларының, 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Ғылыми-консультативтік кеңестің тиісті секциялары мүшелерінің, мемлекеттік органдар мен ұйымдар өкілдерінің, басқа да мүдделі тұлғалардың қатысуымен өткізіледі. Қажет </w:t>
      </w:r>
      <w:r w:rsidR="00A90AE0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болған 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кезде отырысқа басқа секциялардың мүшелері шақырылады.</w:t>
      </w:r>
    </w:p>
    <w:p w:rsidR="00C73844" w:rsidRPr="0026652B" w:rsidRDefault="00F90BC7">
      <w:pPr>
        <w:pStyle w:val="31"/>
        <w:shd w:val="clear" w:color="auto" w:fill="auto"/>
        <w:tabs>
          <w:tab w:val="left" w:pos="1357"/>
        </w:tabs>
        <w:spacing w:before="0" w:line="240" w:lineRule="auto"/>
        <w:ind w:firstLine="851"/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sz w:val="28"/>
          <w:szCs w:val="28"/>
          <w:lang w:val="kk-KZ"/>
        </w:rPr>
        <w:t>1</w:t>
      </w:r>
      <w:r w:rsidR="00EF699C" w:rsidRPr="0026652B">
        <w:rPr>
          <w:sz w:val="28"/>
          <w:szCs w:val="28"/>
          <w:lang w:val="kk-KZ"/>
        </w:rPr>
        <w:t>5</w:t>
      </w:r>
      <w:r w:rsidRPr="0026652B">
        <w:rPr>
          <w:sz w:val="28"/>
          <w:szCs w:val="28"/>
          <w:lang w:val="kk-KZ"/>
        </w:rPr>
        <w:t xml:space="preserve">. Ғылыми-консультативтік кеңестің шешімі 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ұсынымдық сипатта болады</w:t>
      </w:r>
      <w:r w:rsidRPr="0026652B">
        <w:rPr>
          <w:sz w:val="28"/>
          <w:szCs w:val="28"/>
          <w:lang w:val="kk-KZ"/>
        </w:rPr>
        <w:t xml:space="preserve"> және отырыстың хаттамасына </w:t>
      </w:r>
      <w:r w:rsidR="00A90AE0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енгізіл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еді.</w:t>
      </w:r>
    </w:p>
    <w:p w:rsidR="00C73844" w:rsidRPr="0026652B" w:rsidRDefault="00F90BC7">
      <w:pPr>
        <w:pStyle w:val="31"/>
        <w:shd w:val="clear" w:color="auto" w:fill="auto"/>
        <w:tabs>
          <w:tab w:val="left" w:pos="1453"/>
          <w:tab w:val="left" w:pos="8984"/>
        </w:tabs>
        <w:spacing w:before="0" w:line="240" w:lineRule="auto"/>
        <w:ind w:firstLine="851"/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1</w:t>
      </w:r>
      <w:r w:rsidR="00EF699C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6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. Ғылыми-консультативтік кеңестің отырыстары</w:t>
      </w:r>
      <w:r w:rsidR="00A90AE0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50D9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он-лайн режимде, 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652B">
        <w:rPr>
          <w:spacing w:val="2"/>
          <w:sz w:val="28"/>
          <w:szCs w:val="28"/>
          <w:lang w:val="kk-KZ"/>
        </w:rPr>
        <w:t>аудио- және (немесе) бейнежаз</w:t>
      </w:r>
      <w:r w:rsidR="00B350D9" w:rsidRPr="0026652B">
        <w:rPr>
          <w:spacing w:val="2"/>
          <w:sz w:val="28"/>
          <w:szCs w:val="28"/>
          <w:lang w:val="kk-KZ"/>
        </w:rPr>
        <w:t xml:space="preserve">ба арқылы 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 xml:space="preserve"> жүргізіл</w:t>
      </w:r>
      <w:r w:rsidR="00B350D9"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уі мүмкін</w:t>
      </w: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>.</w:t>
      </w:r>
    </w:p>
    <w:p w:rsidR="00C73844" w:rsidRPr="0026652B" w:rsidRDefault="00F90BC7">
      <w:pPr>
        <w:pStyle w:val="31"/>
        <w:shd w:val="clear" w:color="auto" w:fill="auto"/>
        <w:tabs>
          <w:tab w:val="left" w:pos="1453"/>
          <w:tab w:val="left" w:pos="2520"/>
        </w:tabs>
        <w:spacing w:before="0" w:line="240" w:lineRule="auto"/>
        <w:ind w:left="760" w:firstLine="851"/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</w:pPr>
      <w:r w:rsidRPr="0026652B">
        <w:rPr>
          <w:rStyle w:val="3PalatinoLinotype6"/>
          <w:rFonts w:ascii="Times New Roman" w:hAnsi="Times New Roman" w:cs="Times New Roman"/>
          <w:sz w:val="28"/>
          <w:szCs w:val="28"/>
          <w:lang w:val="kk-KZ"/>
        </w:rPr>
        <w:tab/>
      </w:r>
    </w:p>
    <w:p w:rsidR="00C73844" w:rsidRPr="0026652B" w:rsidRDefault="00C73844">
      <w:pPr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73844" w:rsidRPr="002665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45" w:rsidRDefault="00056045">
      <w:pPr>
        <w:spacing w:after="0" w:line="240" w:lineRule="auto"/>
      </w:pPr>
      <w:r>
        <w:separator/>
      </w:r>
    </w:p>
  </w:endnote>
  <w:endnote w:type="continuationSeparator" w:id="0">
    <w:p w:rsidR="00056045" w:rsidRDefault="0005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74698"/>
    </w:sdtPr>
    <w:sdtEndPr/>
    <w:sdtContent>
      <w:p w:rsidR="00C73844" w:rsidRDefault="00F90BC7">
        <w:pPr>
          <w:pStyle w:val="af0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A1438A">
          <w:rPr>
            <w:noProof/>
          </w:rPr>
          <w:t>2</w:t>
        </w:r>
        <w:r>
          <w:fldChar w:fldCharType="end"/>
        </w:r>
      </w:p>
    </w:sdtContent>
  </w:sdt>
  <w:p w:rsidR="00C73844" w:rsidRDefault="00C738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45" w:rsidRDefault="00056045">
      <w:pPr>
        <w:spacing w:after="0" w:line="240" w:lineRule="auto"/>
      </w:pPr>
      <w:r>
        <w:separator/>
      </w:r>
    </w:p>
  </w:footnote>
  <w:footnote w:type="continuationSeparator" w:id="0">
    <w:p w:rsidR="00056045" w:rsidRDefault="0005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010"/>
    <w:multiLevelType w:val="multilevel"/>
    <w:tmpl w:val="01B84D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</w:abstractNum>
  <w:abstractNum w:abstractNumId="1">
    <w:nsid w:val="3863658A"/>
    <w:multiLevelType w:val="multilevel"/>
    <w:tmpl w:val="E3CCA450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position w:val="0"/>
        <w:sz w:val="25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2">
      <w:start w:val="4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3">
      <w:start w:val="4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4">
      <w:start w:val="4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5">
      <w:start w:val="4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6">
      <w:start w:val="4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7">
      <w:start w:val="4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8">
      <w:start w:val="4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</w:abstractNum>
  <w:abstractNum w:abstractNumId="2">
    <w:nsid w:val="5E8270BB"/>
    <w:multiLevelType w:val="multilevel"/>
    <w:tmpl w:val="3544E884"/>
    <w:lvl w:ilvl="0">
      <w:start w:val="6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1">
      <w:start w:val="17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2">
      <w:start w:val="18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3">
      <w:start w:val="18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4">
      <w:start w:val="18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5">
      <w:start w:val="18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6">
      <w:start w:val="18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7">
      <w:start w:val="18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  <w:lvl w:ilvl="8">
      <w:start w:val="18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4"/>
    <w:rsid w:val="00056045"/>
    <w:rsid w:val="001B2B25"/>
    <w:rsid w:val="0026652B"/>
    <w:rsid w:val="002F13C8"/>
    <w:rsid w:val="00404ED3"/>
    <w:rsid w:val="004160BB"/>
    <w:rsid w:val="0044646E"/>
    <w:rsid w:val="005D1A79"/>
    <w:rsid w:val="006C63E9"/>
    <w:rsid w:val="007005A2"/>
    <w:rsid w:val="0071393C"/>
    <w:rsid w:val="007A614C"/>
    <w:rsid w:val="007C021E"/>
    <w:rsid w:val="007F6144"/>
    <w:rsid w:val="00982478"/>
    <w:rsid w:val="00A1438A"/>
    <w:rsid w:val="00A37FB4"/>
    <w:rsid w:val="00A90AE0"/>
    <w:rsid w:val="00AF1C27"/>
    <w:rsid w:val="00B0662D"/>
    <w:rsid w:val="00B350D9"/>
    <w:rsid w:val="00C6015D"/>
    <w:rsid w:val="00C73844"/>
    <w:rsid w:val="00E8610A"/>
    <w:rsid w:val="00EF699C"/>
    <w:rsid w:val="00F90BC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styleId="ac">
    <w:name w:val="Body Text"/>
    <w:basedOn w:val="a"/>
    <w:uiPriority w:val="99"/>
    <w:semiHidden/>
    <w:unhideWhenUsed/>
    <w:pPr>
      <w:shd w:val="clear" w:color="auto" w:fill="FFFFFF"/>
      <w:spacing w:after="60" w:line="240" w:lineRule="atLeas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uiPriority w:val="99"/>
    <w:semiHidden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1">
    <w:name w:val="Основной текст (2)_"/>
    <w:basedOn w:val="a0"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uiPriority w:val="99"/>
    <w:pPr>
      <w:shd w:val="clear" w:color="auto" w:fill="FFFFFF"/>
      <w:spacing w:after="0" w:line="31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0">
    <w:name w:val="Основной текст (3)_"/>
    <w:basedOn w:val="a0"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60">
    <w:name w:val="Основной текст (6)_"/>
    <w:basedOn w:val="a0"/>
    <w:uiPriority w:val="99"/>
    <w:rPr>
      <w:rFonts w:ascii="Palatino Linotype" w:hAnsi="Palatino Linotype" w:cs="Palatino Linotype"/>
      <w:b/>
      <w:bCs/>
      <w:shd w:val="clear" w:color="auto" w:fill="FFFFFF"/>
    </w:rPr>
  </w:style>
  <w:style w:type="paragraph" w:customStyle="1" w:styleId="61">
    <w:name w:val="Основной текст (6)"/>
    <w:basedOn w:val="a"/>
    <w:uiPriority w:val="99"/>
    <w:pPr>
      <w:shd w:val="clear" w:color="auto" w:fill="FFFFFF"/>
      <w:spacing w:before="360" w:after="360" w:line="240" w:lineRule="atLeast"/>
    </w:pPr>
    <w:rPr>
      <w:rFonts w:ascii="Palatino Linotype" w:hAnsi="Palatino Linotype" w:cs="Palatino Linotype"/>
      <w:b/>
      <w:bCs/>
    </w:rPr>
  </w:style>
  <w:style w:type="character" w:customStyle="1" w:styleId="2PalatinoLinotype">
    <w:name w:val="Основной текст (2) + Palatino Linotype"/>
    <w:basedOn w:val="21"/>
    <w:uiPriority w:val="99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character" w:customStyle="1" w:styleId="2PalatinoLinotype4">
    <w:name w:val="Основной текст (2) + Palatino Linotype4"/>
    <w:basedOn w:val="21"/>
    <w:uiPriority w:val="99"/>
    <w:rPr>
      <w:rFonts w:ascii="Palatino Linotype" w:hAnsi="Palatino Linotype" w:cs="Palatino Linotype"/>
      <w:b/>
      <w:bCs/>
      <w:spacing w:val="-19"/>
      <w:sz w:val="24"/>
      <w:szCs w:val="24"/>
      <w:shd w:val="clear" w:color="auto" w:fill="FFFFFF"/>
      <w:lang w:val="en-US" w:eastAsia="en-US"/>
    </w:rPr>
  </w:style>
  <w:style w:type="character" w:customStyle="1" w:styleId="2PalatinoLinotype3">
    <w:name w:val="Основной текст (2) + Palatino Linotype3"/>
    <w:basedOn w:val="21"/>
    <w:uiPriority w:val="99"/>
    <w:rPr>
      <w:rFonts w:ascii="Palatino Linotype" w:hAnsi="Palatino Linotype" w:cs="Palatino Linotype"/>
      <w:b/>
      <w:bCs/>
      <w:spacing w:val="-19"/>
      <w:sz w:val="24"/>
      <w:szCs w:val="24"/>
      <w:shd w:val="clear" w:color="auto" w:fill="FFFFFF"/>
      <w:lang w:val="ru-RU" w:eastAsia="ru-RU"/>
    </w:rPr>
  </w:style>
  <w:style w:type="character" w:customStyle="1" w:styleId="3PalatinoLinotype">
    <w:name w:val="Основной текст (3) + Palatino Linotype"/>
    <w:basedOn w:val="30"/>
    <w:uiPriority w:val="99"/>
    <w:rPr>
      <w:rFonts w:ascii="Palatino Linotype" w:hAnsi="Palatino Linotype" w:cs="Palatino Linotype"/>
      <w:sz w:val="25"/>
      <w:szCs w:val="25"/>
      <w:shd w:val="clear" w:color="auto" w:fill="FFFFFF"/>
    </w:rPr>
  </w:style>
  <w:style w:type="character" w:customStyle="1" w:styleId="PalatinoLinotype">
    <w:name w:val="Основной текст + Palatino Linotype"/>
    <w:basedOn w:val="a0"/>
    <w:uiPriority w:val="99"/>
    <w:rPr>
      <w:rFonts w:ascii="Palatino Linotype" w:hAnsi="Palatino Linotype" w:cs="Palatino Linotype" w:hint="default"/>
      <w:sz w:val="25"/>
      <w:szCs w:val="25"/>
      <w:shd w:val="clear" w:color="auto" w:fill="FFFFFF"/>
    </w:rPr>
  </w:style>
  <w:style w:type="character" w:customStyle="1" w:styleId="PalatinoLinotype2">
    <w:name w:val="Основной текст + Palatino Linotype2"/>
    <w:basedOn w:val="a0"/>
    <w:uiPriority w:val="99"/>
    <w:rPr>
      <w:rFonts w:ascii="Palatino Linotype" w:hAnsi="Palatino Linotype" w:cs="Palatino Linotype" w:hint="default"/>
      <w:sz w:val="25"/>
      <w:szCs w:val="25"/>
      <w:shd w:val="clear" w:color="auto" w:fill="FFFFFF"/>
    </w:rPr>
  </w:style>
  <w:style w:type="character" w:customStyle="1" w:styleId="50">
    <w:name w:val="Основной текст (5)"/>
    <w:basedOn w:val="a0"/>
    <w:uiPriority w:val="99"/>
    <w:rPr>
      <w:rFonts w:ascii="Palatino Linotype" w:hAnsi="Palatino Linotype" w:cs="Palatino Linotype" w:hint="default"/>
      <w:spacing w:val="0"/>
      <w:sz w:val="25"/>
      <w:szCs w:val="25"/>
    </w:rPr>
  </w:style>
  <w:style w:type="character" w:customStyle="1" w:styleId="3PalatinoLinotype8">
    <w:name w:val="Основной текст (3) + Palatino Linotype8"/>
    <w:basedOn w:val="30"/>
    <w:uiPriority w:val="99"/>
    <w:rPr>
      <w:rFonts w:ascii="Palatino Linotype" w:hAnsi="Palatino Linotype" w:cs="Palatino Linotype"/>
      <w:sz w:val="25"/>
      <w:szCs w:val="25"/>
      <w:shd w:val="clear" w:color="auto" w:fill="FFFFFF"/>
    </w:rPr>
  </w:style>
  <w:style w:type="character" w:customStyle="1" w:styleId="3PalatinoLinotype6">
    <w:name w:val="Основной текст (3) + Palatino Linotype6"/>
    <w:basedOn w:val="30"/>
    <w:uiPriority w:val="99"/>
    <w:rPr>
      <w:rFonts w:ascii="Palatino Linotype" w:hAnsi="Palatino Linotype" w:cs="Palatino Linotype"/>
      <w:sz w:val="25"/>
      <w:szCs w:val="25"/>
      <w:shd w:val="clear" w:color="auto" w:fill="FFFFFF"/>
    </w:rPr>
  </w:style>
  <w:style w:type="character" w:customStyle="1" w:styleId="3PalatinoLinotype4">
    <w:name w:val="Основной текст (3) + Palatino Linotype4"/>
    <w:basedOn w:val="30"/>
    <w:uiPriority w:val="99"/>
    <w:rPr>
      <w:rFonts w:ascii="Palatino Linotype" w:hAnsi="Palatino Linotype" w:cs="Palatino Linotype"/>
      <w:sz w:val="25"/>
      <w:szCs w:val="25"/>
      <w:shd w:val="clear" w:color="auto" w:fill="FFFFFF"/>
    </w:rPr>
  </w:style>
  <w:style w:type="paragraph" w:styleId="ae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uiPriority w:val="99"/>
  </w:style>
  <w:style w:type="paragraph" w:styleId="af0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</w:style>
  <w:style w:type="paragraph" w:styleId="af2">
    <w:name w:val="Balloon Text"/>
    <w:basedOn w:val="a"/>
    <w:link w:val="af3"/>
    <w:uiPriority w:val="99"/>
    <w:semiHidden/>
    <w:unhideWhenUsed/>
    <w:rsid w:val="0040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styleId="ac">
    <w:name w:val="Body Text"/>
    <w:basedOn w:val="a"/>
    <w:uiPriority w:val="99"/>
    <w:semiHidden/>
    <w:unhideWhenUsed/>
    <w:pPr>
      <w:shd w:val="clear" w:color="auto" w:fill="FFFFFF"/>
      <w:spacing w:after="60" w:line="240" w:lineRule="atLeas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uiPriority w:val="99"/>
    <w:semiHidden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1">
    <w:name w:val="Основной текст (2)_"/>
    <w:basedOn w:val="a0"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uiPriority w:val="99"/>
    <w:pPr>
      <w:shd w:val="clear" w:color="auto" w:fill="FFFFFF"/>
      <w:spacing w:after="0" w:line="31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0">
    <w:name w:val="Основной текст (3)_"/>
    <w:basedOn w:val="a0"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60">
    <w:name w:val="Основной текст (6)_"/>
    <w:basedOn w:val="a0"/>
    <w:uiPriority w:val="99"/>
    <w:rPr>
      <w:rFonts w:ascii="Palatino Linotype" w:hAnsi="Palatino Linotype" w:cs="Palatino Linotype"/>
      <w:b/>
      <w:bCs/>
      <w:shd w:val="clear" w:color="auto" w:fill="FFFFFF"/>
    </w:rPr>
  </w:style>
  <w:style w:type="paragraph" w:customStyle="1" w:styleId="61">
    <w:name w:val="Основной текст (6)"/>
    <w:basedOn w:val="a"/>
    <w:uiPriority w:val="99"/>
    <w:pPr>
      <w:shd w:val="clear" w:color="auto" w:fill="FFFFFF"/>
      <w:spacing w:before="360" w:after="360" w:line="240" w:lineRule="atLeast"/>
    </w:pPr>
    <w:rPr>
      <w:rFonts w:ascii="Palatino Linotype" w:hAnsi="Palatino Linotype" w:cs="Palatino Linotype"/>
      <w:b/>
      <w:bCs/>
    </w:rPr>
  </w:style>
  <w:style w:type="character" w:customStyle="1" w:styleId="2PalatinoLinotype">
    <w:name w:val="Основной текст (2) + Palatino Linotype"/>
    <w:basedOn w:val="21"/>
    <w:uiPriority w:val="99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character" w:customStyle="1" w:styleId="2PalatinoLinotype4">
    <w:name w:val="Основной текст (2) + Palatino Linotype4"/>
    <w:basedOn w:val="21"/>
    <w:uiPriority w:val="99"/>
    <w:rPr>
      <w:rFonts w:ascii="Palatino Linotype" w:hAnsi="Palatino Linotype" w:cs="Palatino Linotype"/>
      <w:b/>
      <w:bCs/>
      <w:spacing w:val="-19"/>
      <w:sz w:val="24"/>
      <w:szCs w:val="24"/>
      <w:shd w:val="clear" w:color="auto" w:fill="FFFFFF"/>
      <w:lang w:val="en-US" w:eastAsia="en-US"/>
    </w:rPr>
  </w:style>
  <w:style w:type="character" w:customStyle="1" w:styleId="2PalatinoLinotype3">
    <w:name w:val="Основной текст (2) + Palatino Linotype3"/>
    <w:basedOn w:val="21"/>
    <w:uiPriority w:val="99"/>
    <w:rPr>
      <w:rFonts w:ascii="Palatino Linotype" w:hAnsi="Palatino Linotype" w:cs="Palatino Linotype"/>
      <w:b/>
      <w:bCs/>
      <w:spacing w:val="-19"/>
      <w:sz w:val="24"/>
      <w:szCs w:val="24"/>
      <w:shd w:val="clear" w:color="auto" w:fill="FFFFFF"/>
      <w:lang w:val="ru-RU" w:eastAsia="ru-RU"/>
    </w:rPr>
  </w:style>
  <w:style w:type="character" w:customStyle="1" w:styleId="3PalatinoLinotype">
    <w:name w:val="Основной текст (3) + Palatino Linotype"/>
    <w:basedOn w:val="30"/>
    <w:uiPriority w:val="99"/>
    <w:rPr>
      <w:rFonts w:ascii="Palatino Linotype" w:hAnsi="Palatino Linotype" w:cs="Palatino Linotype"/>
      <w:sz w:val="25"/>
      <w:szCs w:val="25"/>
      <w:shd w:val="clear" w:color="auto" w:fill="FFFFFF"/>
    </w:rPr>
  </w:style>
  <w:style w:type="character" w:customStyle="1" w:styleId="PalatinoLinotype">
    <w:name w:val="Основной текст + Palatino Linotype"/>
    <w:basedOn w:val="a0"/>
    <w:uiPriority w:val="99"/>
    <w:rPr>
      <w:rFonts w:ascii="Palatino Linotype" w:hAnsi="Palatino Linotype" w:cs="Palatino Linotype" w:hint="default"/>
      <w:sz w:val="25"/>
      <w:szCs w:val="25"/>
      <w:shd w:val="clear" w:color="auto" w:fill="FFFFFF"/>
    </w:rPr>
  </w:style>
  <w:style w:type="character" w:customStyle="1" w:styleId="PalatinoLinotype2">
    <w:name w:val="Основной текст + Palatino Linotype2"/>
    <w:basedOn w:val="a0"/>
    <w:uiPriority w:val="99"/>
    <w:rPr>
      <w:rFonts w:ascii="Palatino Linotype" w:hAnsi="Palatino Linotype" w:cs="Palatino Linotype" w:hint="default"/>
      <w:sz w:val="25"/>
      <w:szCs w:val="25"/>
      <w:shd w:val="clear" w:color="auto" w:fill="FFFFFF"/>
    </w:rPr>
  </w:style>
  <w:style w:type="character" w:customStyle="1" w:styleId="50">
    <w:name w:val="Основной текст (5)"/>
    <w:basedOn w:val="a0"/>
    <w:uiPriority w:val="99"/>
    <w:rPr>
      <w:rFonts w:ascii="Palatino Linotype" w:hAnsi="Palatino Linotype" w:cs="Palatino Linotype" w:hint="default"/>
      <w:spacing w:val="0"/>
      <w:sz w:val="25"/>
      <w:szCs w:val="25"/>
    </w:rPr>
  </w:style>
  <w:style w:type="character" w:customStyle="1" w:styleId="3PalatinoLinotype8">
    <w:name w:val="Основной текст (3) + Palatino Linotype8"/>
    <w:basedOn w:val="30"/>
    <w:uiPriority w:val="99"/>
    <w:rPr>
      <w:rFonts w:ascii="Palatino Linotype" w:hAnsi="Palatino Linotype" w:cs="Palatino Linotype"/>
      <w:sz w:val="25"/>
      <w:szCs w:val="25"/>
      <w:shd w:val="clear" w:color="auto" w:fill="FFFFFF"/>
    </w:rPr>
  </w:style>
  <w:style w:type="character" w:customStyle="1" w:styleId="3PalatinoLinotype6">
    <w:name w:val="Основной текст (3) + Palatino Linotype6"/>
    <w:basedOn w:val="30"/>
    <w:uiPriority w:val="99"/>
    <w:rPr>
      <w:rFonts w:ascii="Palatino Linotype" w:hAnsi="Palatino Linotype" w:cs="Palatino Linotype"/>
      <w:sz w:val="25"/>
      <w:szCs w:val="25"/>
      <w:shd w:val="clear" w:color="auto" w:fill="FFFFFF"/>
    </w:rPr>
  </w:style>
  <w:style w:type="character" w:customStyle="1" w:styleId="3PalatinoLinotype4">
    <w:name w:val="Основной текст (3) + Palatino Linotype4"/>
    <w:basedOn w:val="30"/>
    <w:uiPriority w:val="99"/>
    <w:rPr>
      <w:rFonts w:ascii="Palatino Linotype" w:hAnsi="Palatino Linotype" w:cs="Palatino Linotype"/>
      <w:sz w:val="25"/>
      <w:szCs w:val="25"/>
      <w:shd w:val="clear" w:color="auto" w:fill="FFFFFF"/>
    </w:rPr>
  </w:style>
  <w:style w:type="paragraph" w:styleId="ae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uiPriority w:val="99"/>
  </w:style>
  <w:style w:type="paragraph" w:styleId="af0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</w:style>
  <w:style w:type="paragraph" w:styleId="af2">
    <w:name w:val="Balloon Text"/>
    <w:basedOn w:val="a"/>
    <w:link w:val="af3"/>
    <w:uiPriority w:val="99"/>
    <w:semiHidden/>
    <w:unhideWhenUsed/>
    <w:rsid w:val="0040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ЖАНАТОВА ЖАНАР КОШКИМБАЕВНА</cp:lastModifiedBy>
  <cp:revision>8</cp:revision>
  <dcterms:created xsi:type="dcterms:W3CDTF">2021-09-28T12:09:00Z</dcterms:created>
  <dcterms:modified xsi:type="dcterms:W3CDTF">2021-10-15T04:54:00Z</dcterms:modified>
</cp:coreProperties>
</file>